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sz w:val="32"/>
          <w:szCs w:val="32"/>
        </w:rPr>
      </w:pPr>
      <w:r>
        <w:rPr>
          <w:rFonts w:hint="eastAsia" w:ascii="黑体" w:eastAsia="黑体"/>
          <w:sz w:val="32"/>
          <w:szCs w:val="32"/>
        </w:rPr>
        <w:t>附件2</w:t>
      </w:r>
    </w:p>
    <w:p>
      <w:pPr>
        <w:spacing w:line="380" w:lineRule="exact"/>
        <w:jc w:val="center"/>
        <w:rPr>
          <w:rFonts w:hint="eastAsia" w:ascii="方正小标宋简体" w:eastAsia="方正小标宋简体"/>
          <w:sz w:val="44"/>
          <w:szCs w:val="44"/>
        </w:rPr>
      </w:pPr>
    </w:p>
    <w:p>
      <w:pPr>
        <w:spacing w:line="580" w:lineRule="exact"/>
        <w:jc w:val="center"/>
        <w:rPr>
          <w:rFonts w:hint="eastAsia" w:ascii="楷体_GB2312" w:eastAsia="楷体_GB2312"/>
          <w:spacing w:val="-8"/>
          <w:sz w:val="32"/>
          <w:szCs w:val="32"/>
        </w:rPr>
      </w:pPr>
      <w:bookmarkStart w:id="0" w:name="_GoBack"/>
      <w:r>
        <w:rPr>
          <w:rFonts w:hint="eastAsia" w:ascii="方正小标宋简体" w:eastAsia="方正小标宋简体"/>
          <w:spacing w:val="-8"/>
          <w:sz w:val="44"/>
          <w:szCs w:val="44"/>
        </w:rPr>
        <w:t>在六项纪律方面存在的苗头性倾向性问题常见情形及处理方式统计表</w:t>
      </w:r>
      <w:bookmarkEnd w:id="0"/>
    </w:p>
    <w:tbl>
      <w:tblPr>
        <w:tblStyle w:val="3"/>
        <w:tblW w:w="13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853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6" w:hRule="atLeast"/>
        </w:trPr>
        <w:tc>
          <w:tcPr>
            <w:tcW w:w="900" w:type="dxa"/>
            <w:vAlign w:val="top"/>
          </w:tcPr>
          <w:p>
            <w:pPr>
              <w:spacing w:line="580" w:lineRule="exact"/>
              <w:jc w:val="center"/>
              <w:rPr>
                <w:rFonts w:hint="eastAsia" w:ascii="黑体" w:eastAsia="黑体"/>
                <w:sz w:val="28"/>
                <w:szCs w:val="28"/>
              </w:rPr>
            </w:pPr>
            <w:r>
              <w:rPr>
                <w:rFonts w:hint="eastAsia" w:ascii="黑体" w:eastAsia="黑体"/>
                <w:sz w:val="28"/>
                <w:szCs w:val="28"/>
              </w:rPr>
              <w:t>序号</w:t>
            </w:r>
          </w:p>
        </w:tc>
        <w:tc>
          <w:tcPr>
            <w:tcW w:w="1620" w:type="dxa"/>
            <w:vAlign w:val="center"/>
          </w:tcPr>
          <w:p>
            <w:pPr>
              <w:spacing w:line="580" w:lineRule="exact"/>
              <w:jc w:val="center"/>
              <w:rPr>
                <w:rFonts w:hint="eastAsia" w:ascii="黑体" w:eastAsia="黑体"/>
                <w:sz w:val="28"/>
                <w:szCs w:val="28"/>
              </w:rPr>
            </w:pPr>
            <w:r>
              <w:rPr>
                <w:rFonts w:hint="eastAsia" w:ascii="黑体" w:eastAsia="黑体"/>
                <w:sz w:val="28"/>
                <w:szCs w:val="28"/>
              </w:rPr>
              <w:t>六项纪律</w:t>
            </w:r>
          </w:p>
        </w:tc>
        <w:tc>
          <w:tcPr>
            <w:tcW w:w="8532" w:type="dxa"/>
            <w:vAlign w:val="center"/>
          </w:tcPr>
          <w:p>
            <w:pPr>
              <w:spacing w:line="580" w:lineRule="exact"/>
              <w:jc w:val="center"/>
              <w:rPr>
                <w:rFonts w:hint="eastAsia" w:ascii="黑体" w:eastAsia="黑体"/>
                <w:sz w:val="28"/>
                <w:szCs w:val="28"/>
              </w:rPr>
            </w:pPr>
            <w:r>
              <w:rPr>
                <w:rFonts w:hint="eastAsia" w:ascii="黑体" w:eastAsia="黑体"/>
                <w:sz w:val="28"/>
                <w:szCs w:val="28"/>
              </w:rPr>
              <w:t>苗头性倾向性问题常见情形</w:t>
            </w:r>
          </w:p>
        </w:tc>
        <w:tc>
          <w:tcPr>
            <w:tcW w:w="2448" w:type="dxa"/>
            <w:vAlign w:val="center"/>
          </w:tcPr>
          <w:p>
            <w:pPr>
              <w:spacing w:line="580" w:lineRule="exact"/>
              <w:jc w:val="center"/>
              <w:rPr>
                <w:rFonts w:hint="eastAsia" w:ascii="黑体" w:eastAsia="黑体"/>
                <w:sz w:val="28"/>
                <w:szCs w:val="28"/>
              </w:rPr>
            </w:pPr>
            <w:r>
              <w:rPr>
                <w:rFonts w:hint="eastAsia" w:ascii="黑体" w:eastAsia="黑体"/>
                <w:sz w:val="28"/>
                <w:szCs w:val="28"/>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1</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政治纪律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例：1.烧香拜佛，相信风水，找人算命。</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 xml:space="preserve">    2</w:t>
            </w:r>
            <w:r>
              <w:rPr>
                <w:rFonts w:ascii="仿宋_GB2312" w:eastAsia="仿宋_GB2312"/>
                <w:szCs w:val="21"/>
              </w:rPr>
              <w:t>.</w:t>
            </w:r>
            <w:r>
              <w:rPr>
                <w:rFonts w:hint="eastAsia" w:ascii="宋体" w:hAnsi="宋体"/>
                <w:szCs w:val="21"/>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 xml:space="preserve">    3.</w:t>
            </w:r>
            <w:r>
              <w:rPr>
                <w:rFonts w:hint="eastAsia" w:ascii="宋体" w:hAnsi="宋体"/>
                <w:szCs w:val="21"/>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2</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组织纪律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例：1.违反规定组织和参加同学聚会、战友聚会。</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ind w:firstLine="420" w:firstLineChars="200"/>
              <w:rPr>
                <w:rFonts w:hint="eastAsia"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宋体" w:hAnsi="宋体"/>
                <w:szCs w:val="21"/>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3</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廉洁纪律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例：1.办公物品私用。</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ind w:firstLine="420" w:firstLineChars="200"/>
              <w:rPr>
                <w:rFonts w:hint="eastAsia"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宋体" w:hAnsi="宋体"/>
                <w:szCs w:val="21"/>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4</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群众纪律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例：1.工作中对群众态度生硬、推诿扯皮。</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ind w:firstLine="420" w:firstLineChars="200"/>
              <w:rPr>
                <w:rFonts w:hint="eastAsia"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宋体" w:hAnsi="宋体"/>
                <w:szCs w:val="21"/>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5</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工作纪律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例：1.打听执纪执法活动、干部选拔任用的相关信息等。</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ind w:firstLine="480" w:firstLineChars="200"/>
              <w:rPr>
                <w:rFonts w:hint="eastAsia" w:ascii="仿宋_GB2312" w:eastAsia="仿宋_GB2312"/>
                <w:szCs w:val="21"/>
              </w:rPr>
            </w:pPr>
            <w:r>
              <w:rPr>
                <w:rFonts w:hint="eastAsia" w:ascii="仿宋_GB2312" w:eastAsia="仿宋_GB2312"/>
                <w:sz w:val="24"/>
              </w:rPr>
              <w:t>2</w:t>
            </w:r>
            <w:r>
              <w:rPr>
                <w:rFonts w:ascii="仿宋_GB2312" w:eastAsia="仿宋_GB2312"/>
                <w:sz w:val="24"/>
              </w:rPr>
              <w:t>.</w:t>
            </w:r>
            <w:r>
              <w:rPr>
                <w:rFonts w:hint="eastAsia" w:ascii="宋体" w:hAnsi="宋体"/>
                <w:sz w:val="24"/>
              </w:rPr>
              <w:t>…</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restart"/>
            <w:shd w:val="clear" w:color="auto" w:fill="auto"/>
            <w:vAlign w:val="center"/>
          </w:tcPr>
          <w:p>
            <w:pPr>
              <w:spacing w:line="360" w:lineRule="exact"/>
              <w:jc w:val="center"/>
              <w:rPr>
                <w:rFonts w:eastAsia="仿宋_GB2312"/>
                <w:sz w:val="28"/>
                <w:szCs w:val="28"/>
              </w:rPr>
            </w:pPr>
            <w:r>
              <w:rPr>
                <w:rFonts w:eastAsia="仿宋_GB2312"/>
                <w:sz w:val="28"/>
                <w:szCs w:val="28"/>
              </w:rPr>
              <w:t>6</w:t>
            </w:r>
          </w:p>
        </w:tc>
        <w:tc>
          <w:tcPr>
            <w:tcW w:w="1620" w:type="dxa"/>
            <w:vMerge w:val="restart"/>
            <w:shd w:val="clear" w:color="auto" w:fill="auto"/>
            <w:vAlign w:val="center"/>
          </w:tcPr>
          <w:p>
            <w:pPr>
              <w:spacing w:line="360" w:lineRule="exact"/>
              <w:jc w:val="center"/>
              <w:rPr>
                <w:rFonts w:hint="eastAsia" w:ascii="仿宋_GB2312" w:eastAsia="仿宋_GB2312"/>
                <w:sz w:val="28"/>
                <w:szCs w:val="28"/>
              </w:rPr>
            </w:pPr>
            <w:r>
              <w:rPr>
                <w:rFonts w:hint="eastAsia" w:ascii="仿宋_GB2312" w:eastAsia="仿宋_GB2312"/>
                <w:sz w:val="28"/>
                <w:szCs w:val="28"/>
              </w:rPr>
              <w:t>生活纪律</w:t>
            </w: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例：1.购买、使用超出个人或家庭经济承受能力的物品。</w:t>
            </w:r>
          </w:p>
        </w:tc>
        <w:tc>
          <w:tcPr>
            <w:tcW w:w="2448" w:type="dxa"/>
            <w:shd w:val="clear" w:color="auto" w:fill="auto"/>
            <w:vAlign w:val="center"/>
          </w:tcPr>
          <w:p>
            <w:pPr>
              <w:spacing w:line="3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00" w:type="dxa"/>
            <w:vMerge w:val="continue"/>
            <w:shd w:val="clear" w:color="auto" w:fill="auto"/>
            <w:vAlign w:val="center"/>
          </w:tcPr>
          <w:p>
            <w:pPr>
              <w:spacing w:line="360" w:lineRule="exact"/>
              <w:jc w:val="center"/>
              <w:rPr>
                <w:rFonts w:eastAsia="仿宋_GB2312"/>
                <w:sz w:val="28"/>
                <w:szCs w:val="28"/>
              </w:rPr>
            </w:pPr>
          </w:p>
        </w:tc>
        <w:tc>
          <w:tcPr>
            <w:tcW w:w="1620" w:type="dxa"/>
            <w:vMerge w:val="continue"/>
            <w:shd w:val="clear" w:color="auto" w:fill="auto"/>
            <w:vAlign w:val="center"/>
          </w:tcPr>
          <w:p>
            <w:pPr>
              <w:spacing w:line="360" w:lineRule="exact"/>
              <w:jc w:val="center"/>
              <w:rPr>
                <w:rFonts w:hint="eastAsia" w:ascii="仿宋_GB2312" w:eastAsia="仿宋_GB2312"/>
                <w:sz w:val="28"/>
                <w:szCs w:val="28"/>
              </w:rPr>
            </w:pPr>
          </w:p>
        </w:tc>
        <w:tc>
          <w:tcPr>
            <w:tcW w:w="8532" w:type="dxa"/>
            <w:shd w:val="clear" w:color="auto" w:fill="auto"/>
            <w:vAlign w:val="center"/>
          </w:tcPr>
          <w:p>
            <w:pPr>
              <w:spacing w:line="360" w:lineRule="exact"/>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sz w:val="24"/>
              </w:rPr>
              <w:t>2</w:t>
            </w:r>
            <w:r>
              <w:rPr>
                <w:rFonts w:ascii="仿宋_GB2312" w:eastAsia="仿宋_GB2312"/>
                <w:sz w:val="24"/>
              </w:rPr>
              <w:t>.</w:t>
            </w:r>
            <w:r>
              <w:rPr>
                <w:rFonts w:hint="eastAsia" w:ascii="宋体" w:hAnsi="宋体"/>
                <w:sz w:val="24"/>
              </w:rPr>
              <w:t>…</w:t>
            </w:r>
          </w:p>
        </w:tc>
        <w:tc>
          <w:tcPr>
            <w:tcW w:w="2448" w:type="dxa"/>
            <w:shd w:val="clear" w:color="auto" w:fill="auto"/>
            <w:vAlign w:val="center"/>
          </w:tcPr>
          <w:p>
            <w:pPr>
              <w:spacing w:line="360" w:lineRule="exact"/>
              <w:rPr>
                <w:rFonts w:hint="eastAsia" w:ascii="仿宋_GB2312" w:eastAsia="仿宋_GB2312"/>
                <w:sz w:val="24"/>
              </w:rPr>
            </w:pPr>
          </w:p>
        </w:tc>
      </w:tr>
    </w:tbl>
    <w:p>
      <w:pPr>
        <w:spacing w:line="580" w:lineRule="exact"/>
        <w:ind w:left="480" w:hanging="480" w:hangingChars="200"/>
        <w:rPr>
          <w:rFonts w:ascii="楷体_GB2312" w:eastAsia="楷体_GB2312"/>
          <w:sz w:val="24"/>
        </w:rPr>
      </w:pPr>
      <w:r>
        <w:rPr>
          <w:rFonts w:hint="eastAsia" w:ascii="黑体" w:eastAsia="黑体"/>
          <w:sz w:val="24"/>
        </w:rPr>
        <w:t>注：</w:t>
      </w:r>
      <w:r>
        <w:rPr>
          <w:rFonts w:hint="eastAsia" w:ascii="楷体_GB2312" w:eastAsia="楷体_GB2312"/>
          <w:sz w:val="24"/>
        </w:rPr>
        <w:t>处理方式包括提醒谈话、批评教育、诫勉谈话、责令作出书面检查、通报批评、组织处理等，具体填写已采用或建议方式。</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649AE"/>
    <w:rsid w:val="44464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2016-06-29T07:08:00Z</dcterms:created>
  <dc:creator>user</dc:creator>
  <cp:lastModifiedBy>user</cp:lastModifiedBy>
  <dcterms:modified xsi:type="dcterms:W3CDTF">2016-06-29T07:08:55Z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