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苗头性倾向性问题处理典型案例统计表</w:t>
      </w:r>
    </w:p>
    <w:p>
      <w:pPr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报送单位：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419"/>
        <w:gridCol w:w="6"/>
        <w:gridCol w:w="171"/>
        <w:gridCol w:w="711"/>
        <w:gridCol w:w="533"/>
        <w:gridCol w:w="885"/>
        <w:gridCol w:w="709"/>
        <w:gridCol w:w="1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处理对象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问题归类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政治纪律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组织纪律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廉洁纪律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群众纪律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工作纪律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生活纪律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处理方式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对党员</w:t>
            </w:r>
          </w:p>
        </w:tc>
        <w:tc>
          <w:tcPr>
            <w:tcW w:w="5815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详细填写（提醒谈话、批评教育、诫勉谈话、责令作出书面检查、通报批评、组织处理等内容）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对党组织</w:t>
            </w:r>
          </w:p>
        </w:tc>
        <w:tc>
          <w:tcPr>
            <w:tcW w:w="5809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详细填写（批评教育、诫勉谈话、责令作出书面检查、召开指定主题的民主生活会、通报批评等内容）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处理事由</w:t>
            </w:r>
          </w:p>
        </w:tc>
        <w:tc>
          <w:tcPr>
            <w:tcW w:w="7234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4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楷体_GB2312" w:eastAsia="楷体_GB2312"/>
          <w:sz w:val="24"/>
        </w:rPr>
        <w:t>1.典型案例是指情节轻微、不足以给予纪律处分的，对下一级党组织综合采用批评教育、诫勉谈话、责令作出书面检查、召开指定主题的民主生活会、通报批评等方式问责处理，对党员干部个人综合采用提醒谈话、批评教育、诫勉谈话、责令作出书面检查、通报批评、组织处理等方式警诫教育的典型案例。</w:t>
      </w:r>
    </w:p>
    <w:p>
      <w:pPr>
        <w:spacing w:line="34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2.请在“问题归类”中相应的一个或几个栏内打“√”，案例填报各市（区）不少于5例，市级机关部门不少于1例。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C54B1"/>
    <w:rsid w:val="011C54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2016-06-29T07:09:00Z</dcterms:created>
  <dc:creator>user</dc:creator>
  <cp:lastModifiedBy>user</cp:lastModifiedBy>
  <dcterms:modified xsi:type="dcterms:W3CDTF">2016-06-29T07:09:40Z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